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contextualSpacing/>
        <w:jc w:val="right"/>
        <w:rPr>
          <w:rFonts w:eastAsia="Times New Roman" w:cs="Times New Roman"/>
          <w:color w:val="auto"/>
          <w:sz w:val="24"/>
          <w:szCs w:val="28"/>
          <w:lang w:eastAsia="ru-RU"/>
        </w:rPr>
      </w:pP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1</w:t>
      </w: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7</w:t>
      </w: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.0</w:t>
      </w: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3</w:t>
      </w: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2022г.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0"/>
        <w:contextualSpacing/>
        <w:jc w:val="center"/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Внутренний конкурс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:</w:t>
      </w:r>
    </w:p>
    <w:p w:rsidR="002000F4" w:rsidRDefault="00D31BCB" w:rsidP="00200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д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ля категории </w:t>
      </w:r>
      <w:r w:rsidR="002000F4" w:rsidRPr="002000F4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С-R-1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="002000F4" w:rsidRPr="002000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 по профилю «право». </w:t>
      </w:r>
    </w:p>
    <w:p w:rsidR="00D31BCB" w:rsidRPr="00FA2370" w:rsidRDefault="00D31BCB" w:rsidP="00200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R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-</w:t>
      </w: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высшее, допускается </w:t>
      </w:r>
      <w:proofErr w:type="spellStart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R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 xml:space="preserve">-5: </w:t>
      </w:r>
      <w:r w:rsidRPr="00FA2370">
        <w:rPr>
          <w:rFonts w:eastAsiaTheme="minorHAnsi" w:cs="Times New Roman"/>
          <w:color w:val="000000"/>
          <w:sz w:val="24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proofErr w:type="gramStart"/>
      <w:r w:rsidRPr="00FA2370">
        <w:rPr>
          <w:rFonts w:eastAsiaTheme="minorHAnsi" w:cs="Times New Roman"/>
          <w:color w:val="000000"/>
          <w:sz w:val="24"/>
          <w:szCs w:val="26"/>
        </w:rPr>
        <w:t xml:space="preserve">Либо </w:t>
      </w:r>
      <w:proofErr w:type="spellStart"/>
      <w:r w:rsidRPr="00FA2370">
        <w:rPr>
          <w:rFonts w:eastAsiaTheme="minorHAnsi" w:cs="Times New Roman"/>
          <w:color w:val="000000"/>
          <w:sz w:val="24"/>
          <w:szCs w:val="26"/>
        </w:rPr>
        <w:t>послесреднее</w:t>
      </w:r>
      <w:proofErr w:type="spellEnd"/>
      <w:r w:rsidRPr="00FA2370">
        <w:rPr>
          <w:rFonts w:eastAsiaTheme="minorHAnsi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FA2370">
        <w:rPr>
          <w:rFonts w:eastAsiaTheme="minorHAnsi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 w:line="276" w:lineRule="auto"/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Приказом</w:t>
      </w:r>
      <w:proofErr w:type="spellEnd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«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FA2370">
        <w:rPr>
          <w:rFonts w:eastAsia="Times New Roman" w:cs="Times New Roman"/>
          <w:bCs/>
          <w:color w:val="auto"/>
          <w:sz w:val="24"/>
          <w:szCs w:val="28"/>
          <w:lang w:val="kk-KZ" w:eastAsia="ru-RU"/>
        </w:rPr>
        <w:t>»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, з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арегистрирован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ного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3"/>
        </w:tabs>
        <w:spacing w:after="0" w:line="276" w:lineRule="auto"/>
        <w:ind w:right="142" w:firstLine="0"/>
        <w:jc w:val="center"/>
        <w:rPr>
          <w:rFonts w:eastAsiaTheme="minorHAnsi" w:cs="Times New Roman"/>
          <w:bCs/>
          <w:i/>
          <w:color w:val="auto"/>
          <w:sz w:val="24"/>
          <w:szCs w:val="28"/>
        </w:rPr>
      </w:pPr>
      <w:r w:rsidRPr="00FA2370">
        <w:rPr>
          <w:rFonts w:eastAsiaTheme="minorHAnsi" w:cs="Times New Roman"/>
          <w:color w:val="auto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D31BCB" w:rsidRPr="00FA2370" w:rsidTr="00F97373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D31BCB" w:rsidRPr="00FA2370" w:rsidTr="00F97373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M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kk-KZ" w:eastAsia="ru-RU"/>
              </w:rPr>
              <w:t xml:space="preserve">              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en-US" w:eastAsia="ru-RU"/>
              </w:rPr>
              <w:t>m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    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max</w:t>
            </w:r>
            <w:proofErr w:type="spellEnd"/>
          </w:p>
        </w:tc>
      </w:tr>
      <w:tr w:rsidR="00D31BCB" w:rsidRPr="00FA2370" w:rsidTr="00F9737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229 192</w:t>
            </w:r>
          </w:p>
        </w:tc>
      </w:tr>
      <w:tr w:rsidR="00D31BCB" w:rsidRPr="00FA2370" w:rsidTr="00F9737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</w:t>
            </w: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169 432</w:t>
            </w:r>
          </w:p>
        </w:tc>
      </w:tr>
      <w:tr w:rsidR="00D31BCB" w:rsidRPr="00FA2370" w:rsidTr="00F9737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B" w:rsidRPr="00FA2370" w:rsidRDefault="00D31BCB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149 320</w:t>
            </w:r>
          </w:p>
        </w:tc>
      </w:tr>
      <w:tr w:rsidR="002000F4" w:rsidRPr="00FA2370" w:rsidTr="00F97373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F4" w:rsidRPr="00FA2370" w:rsidRDefault="002000F4" w:rsidP="00F97373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</w:pPr>
            <w:r w:rsidRPr="002000F4">
              <w:rPr>
                <w:rFonts w:eastAsia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С-R-1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F4" w:rsidRPr="00FA2370" w:rsidRDefault="002000F4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>
              <w:rPr>
                <w:rFonts w:eastAsiaTheme="minorHAnsi" w:cs="Times New Roman"/>
                <w:color w:val="auto"/>
                <w:sz w:val="24"/>
                <w:szCs w:val="28"/>
              </w:rPr>
              <w:t>241 028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F4" w:rsidRPr="00FA2370" w:rsidRDefault="002000F4" w:rsidP="00F97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>
              <w:rPr>
                <w:rFonts w:eastAsiaTheme="minorHAnsi" w:cs="Times New Roman"/>
                <w:color w:val="auto"/>
                <w:sz w:val="24"/>
                <w:szCs w:val="28"/>
              </w:rPr>
              <w:t>295 611</w:t>
            </w:r>
          </w:p>
        </w:tc>
      </w:tr>
    </w:tbl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67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ул</w:t>
      </w:r>
      <w:proofErr w:type="gram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.Г</w:t>
      </w:r>
      <w:proofErr w:type="gram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орького</w:t>
      </w:r>
      <w:proofErr w:type="spell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5" w:history="1">
        <w:r w:rsidRPr="00FA2370">
          <w:rPr>
            <w:rFonts w:eastAsia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715-0204@sud.kz</w:t>
        </w:r>
      </w:hyperlink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D31BCB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2000F4" w:rsidRDefault="002000F4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2000F4" w:rsidRDefault="002000F4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2000F4" w:rsidRDefault="002000F4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color w:val="auto"/>
          <w:sz w:val="26"/>
          <w:szCs w:val="26"/>
        </w:rPr>
      </w:pPr>
    </w:p>
    <w:p w:rsidR="00D31BCB" w:rsidRPr="00FA2370" w:rsidRDefault="00F24004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i/>
          <w:color w:val="auto"/>
          <w:sz w:val="26"/>
          <w:szCs w:val="26"/>
          <w:lang w:val="kk-KZ"/>
        </w:rPr>
      </w:pPr>
      <w:r w:rsidRPr="00F24004">
        <w:rPr>
          <w:rFonts w:eastAsiaTheme="minorHAnsi" w:cs="Times New Roman"/>
          <w:b/>
          <w:color w:val="auto"/>
          <w:sz w:val="26"/>
          <w:szCs w:val="26"/>
          <w:lang w:val="kk-KZ"/>
        </w:rPr>
        <w:lastRenderedPageBreak/>
        <w:t>Заведующий канцелярией канцелярии специализированного суда по административным правонарушениям города Петропавловска Северо-Казахс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>танской области (</w:t>
      </w:r>
      <w:r w:rsidRPr="00F24004">
        <w:rPr>
          <w:rFonts w:eastAsiaTheme="minorHAnsi" w:cs="Times New Roman"/>
          <w:b/>
          <w:color w:val="auto"/>
          <w:sz w:val="26"/>
          <w:szCs w:val="26"/>
          <w:lang w:val="kk-KZ"/>
        </w:rPr>
        <w:t>С-R-1</w:t>
      </w:r>
      <w:r w:rsidR="00D31BCB" w:rsidRPr="00FA2370">
        <w:rPr>
          <w:rFonts w:eastAsiaTheme="minorHAnsi" w:cs="Times New Roman"/>
          <w:b/>
          <w:i/>
          <w:color w:val="auto"/>
          <w:sz w:val="26"/>
          <w:szCs w:val="26"/>
        </w:rPr>
        <w:t xml:space="preserve">, </w:t>
      </w:r>
      <w:r w:rsidR="00D31BCB"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>1</w:t>
      </w:r>
      <w:r w:rsidR="00D31BCB" w:rsidRPr="00FA2370"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 xml:space="preserve"> </w:t>
      </w:r>
      <w:r w:rsidR="00D31BCB" w:rsidRPr="00FA2370">
        <w:rPr>
          <w:rFonts w:eastAsiaTheme="minorHAnsi" w:cs="Times New Roman"/>
          <w:b/>
          <w:i/>
          <w:color w:val="auto"/>
          <w:sz w:val="26"/>
          <w:szCs w:val="26"/>
        </w:rPr>
        <w:t>ед.)</w:t>
      </w:r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D31BCB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 xml:space="preserve">Высшее по профилям «право» </w:t>
      </w:r>
      <w:bookmarkStart w:id="0" w:name="_GoBack"/>
      <w:bookmarkEnd w:id="0"/>
    </w:p>
    <w:p w:rsidR="00D31BCB" w:rsidRPr="00FA2370" w:rsidRDefault="00D31BCB" w:rsidP="00D31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F24004" w:rsidRPr="00F24004" w:rsidRDefault="00F24004" w:rsidP="00F2400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6"/>
          <w:szCs w:val="26"/>
          <w:lang w:val="kk-KZ" w:eastAsia="ru-RU"/>
        </w:rPr>
      </w:pPr>
      <w:r w:rsidRPr="00F24004">
        <w:rPr>
          <w:rFonts w:eastAsia="Times New Roman" w:cs="Times New Roman"/>
          <w:sz w:val="26"/>
          <w:szCs w:val="26"/>
          <w:lang w:val="kk-KZ" w:eastAsia="ru-RU"/>
        </w:rPr>
        <w:t xml:space="preserve">Основные функциональные обязанности – организация работы в канцелярии суда.  Работа с информационными системами «Е-Кадры», «Төрелік». </w:t>
      </w:r>
    </w:p>
    <w:p w:rsidR="00F24004" w:rsidRPr="00F24004" w:rsidRDefault="00F24004" w:rsidP="00F2400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6"/>
          <w:szCs w:val="26"/>
          <w:lang w:val="kk-KZ" w:eastAsia="ru-RU"/>
        </w:rPr>
      </w:pPr>
      <w:r w:rsidRPr="00F24004">
        <w:rPr>
          <w:rFonts w:eastAsia="Times New Roman" w:cs="Times New Roman"/>
          <w:sz w:val="26"/>
          <w:szCs w:val="26"/>
          <w:lang w:val="kk-KZ" w:eastAsia="ru-RU"/>
        </w:rPr>
        <w:t>Контролирующие функции – своевременное исполнение контрольных заданий специалистами канцелярии суда.</w:t>
      </w:r>
    </w:p>
    <w:p w:rsidR="00D31BCB" w:rsidRPr="00F24004" w:rsidRDefault="00F24004" w:rsidP="00F24004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sz w:val="26"/>
          <w:szCs w:val="26"/>
          <w:lang w:val="kk-KZ" w:eastAsia="ru-RU"/>
        </w:rPr>
      </w:pPr>
      <w:r w:rsidRPr="00F24004">
        <w:rPr>
          <w:rFonts w:eastAsia="Times New Roman" w:cs="Times New Roman"/>
          <w:sz w:val="26"/>
          <w:szCs w:val="26"/>
          <w:lang w:val="kk-KZ" w:eastAsia="ru-RU"/>
        </w:rPr>
        <w:t>Координирующие функции – своевременное изучение специалистами канцелярии суда  НПА, принимаемых Правительством РК, изменений и дополнений в действующие НПА.</w:t>
      </w:r>
    </w:p>
    <w:p w:rsidR="00D31BCB" w:rsidRPr="00F24004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6"/>
          <w:szCs w:val="26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</w:p>
    <w:p w:rsidR="00D31BCB" w:rsidRPr="0064041C" w:rsidRDefault="00D31BCB" w:rsidP="00D31BCB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  <w:r w:rsidRPr="0064041C">
        <w:rPr>
          <w:rFonts w:eastAsia="Times New Roman" w:cs="Times New Roman"/>
          <w:b/>
          <w:sz w:val="24"/>
          <w:szCs w:val="28"/>
          <w:lang w:eastAsia="ru-RU"/>
        </w:rPr>
        <w:t>Необходимые для участия в конкурсе документы: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eastAsia="Times New Roman" w:cs="Times New Roman"/>
          <w:sz w:val="24"/>
          <w:szCs w:val="28"/>
          <w:lang w:eastAsia="ru-RU"/>
        </w:rPr>
        <w:t>715-</w:t>
      </w:r>
      <w:hyperlink r:id="rId6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eastAsia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D31BCB" w:rsidRPr="0064041C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D31BCB" w:rsidRPr="0005727E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val="en-US" w:eastAsia="ru-RU"/>
        </w:rPr>
      </w:pPr>
      <w:hyperlink r:id="rId7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eastAsia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D31BCB" w:rsidRPr="00A23EC2" w:rsidTr="00F97373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ind w:left="567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BCB" w:rsidRPr="00A23EC2" w:rsidRDefault="00D31BCB" w:rsidP="00F97373">
            <w:pPr>
              <w:spacing w:before="100" w:beforeAutospacing="1" w:after="100" w:afterAutospacing="1"/>
              <w:ind w:left="4395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31BCB" w:rsidRPr="00A23EC2" w:rsidTr="00F97373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К ТIЗIМІ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D31BCB" w:rsidRPr="00A23EC2" w:rsidTr="00F97373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D31BCB" w:rsidRPr="00A23EC2" w:rsidTr="00F97373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D31BCB" w:rsidRPr="00A23EC2" w:rsidRDefault="00D31BCB" w:rsidP="00F97373">
                  <w:pPr>
                    <w:spacing w:before="100" w:beforeAutospacing="1" w:after="100" w:afterAutospacing="1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31BCB" w:rsidRPr="00A23EC2" w:rsidTr="00F97373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31BCB" w:rsidRPr="00A23EC2" w:rsidTr="00F97373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CB" w:rsidRPr="00A23EC2" w:rsidTr="00F97373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31BCB" w:rsidRPr="00A23EC2" w:rsidRDefault="00D31BCB" w:rsidP="00F9737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D31BCB" w:rsidRPr="0005727E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Pr="00434AF3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D31BCB" w:rsidRDefault="00D31BCB" w:rsidP="00D31BCB">
      <w:pPr>
        <w:spacing w:before="100" w:beforeAutospacing="1" w:after="100" w:afterAutospacing="1"/>
        <w:ind w:left="5387"/>
        <w:contextualSpacing/>
        <w:rPr>
          <w:rFonts w:eastAsia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D31BCB" w:rsidRPr="00A23EC2" w:rsidRDefault="00D31BCB" w:rsidP="00D31BCB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D31BCB" w:rsidRPr="00A23EC2" w:rsidRDefault="00D31BCB" w:rsidP="00D31BCB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D31BCB" w:rsidRPr="00A23EC2" w:rsidRDefault="00D31BCB" w:rsidP="00D31BCB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>: 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 ______________________________________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D31BCB" w:rsidRPr="00A23EC2" w:rsidRDefault="00D31BCB" w:rsidP="00D31BCB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«____»_______________ 20__ г</w:t>
      </w:r>
    </w:p>
    <w:p w:rsidR="00D31BCB" w:rsidRPr="00664662" w:rsidRDefault="00D31BCB" w:rsidP="00D31BCB">
      <w:pPr>
        <w:contextualSpacing/>
        <w:rPr>
          <w:szCs w:val="24"/>
        </w:rPr>
      </w:pPr>
    </w:p>
    <w:p w:rsidR="00D31BCB" w:rsidRPr="0064041C" w:rsidRDefault="00D31BCB" w:rsidP="00D31BCB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D31BCB" w:rsidRPr="005C50ED" w:rsidRDefault="00D31BCB" w:rsidP="00D31BCB">
      <w:pPr>
        <w:rPr>
          <w:rFonts w:cs="Times New Roman"/>
          <w:sz w:val="24"/>
          <w:szCs w:val="28"/>
          <w:lang w:val="en-US"/>
        </w:rPr>
      </w:pPr>
    </w:p>
    <w:p w:rsidR="00D31BCB" w:rsidRDefault="00D31BCB" w:rsidP="00D31BCB"/>
    <w:p w:rsidR="00D31BCB" w:rsidRDefault="00D31BCB" w:rsidP="00D31BCB"/>
    <w:p w:rsidR="00D31BCB" w:rsidRDefault="00D31BCB" w:rsidP="00D31BCB"/>
    <w:p w:rsidR="00D31BCB" w:rsidRDefault="00D31BCB" w:rsidP="00D31BCB">
      <w:pPr>
        <w:spacing w:after="0"/>
        <w:ind w:firstLine="0"/>
      </w:pPr>
    </w:p>
    <w:p w:rsidR="00D31BCB" w:rsidRDefault="00D31BCB" w:rsidP="00D31BCB"/>
    <w:p w:rsidR="000F0B17" w:rsidRDefault="000F0B17"/>
    <w:sectPr w:rsidR="000F0B17" w:rsidSect="003101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B"/>
    <w:rsid w:val="000F0B17"/>
    <w:rsid w:val="002000F4"/>
    <w:rsid w:val="00B36276"/>
    <w:rsid w:val="00D31BCB"/>
    <w:rsid w:val="00F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B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D31BC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D31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D31BCB"/>
    <w:rPr>
      <w:rFonts w:asciiTheme="minorHAnsi" w:eastAsiaTheme="minorHAnsi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F240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4004"/>
    <w:rPr>
      <w:rFonts w:ascii="Times New Roman" w:hAnsi="Times New Roman"/>
      <w:color w:val="00000A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240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004"/>
    <w:rPr>
      <w:rFonts w:ascii="Times New Roman" w:hAnsi="Times New Roman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B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D31BCB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D31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D31BCB"/>
    <w:rPr>
      <w:rFonts w:asciiTheme="minorHAnsi" w:eastAsiaTheme="minorHAnsi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F240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24004"/>
    <w:rPr>
      <w:rFonts w:ascii="Times New Roman" w:hAnsi="Times New Roman"/>
      <w:color w:val="00000A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240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004"/>
    <w:rPr>
      <w:rFonts w:ascii="Times New Roman" w:hAnsi="Times New Roman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04@sud.kz" TargetMode="External"/><Relationship Id="rId5" Type="http://schemas.openxmlformats.org/officeDocument/2006/relationships/hyperlink" Target="mailto:715-0204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2022-03-17T02:57:00Z</dcterms:created>
  <dcterms:modified xsi:type="dcterms:W3CDTF">2022-03-17T03:04:00Z</dcterms:modified>
</cp:coreProperties>
</file>